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lang w:val="en-US"/>
        </w:rPr>
      </w:pPr>
      <w:r>
        <w:rPr>
          <w:b/>
          <w:lang w:val="en-US"/>
        </w:rPr>
        <w:t>Nr.___________/Data__________</w:t>
      </w:r>
    </w:p>
    <w:p>
      <w:pPr>
        <w:pStyle w:val="Corptext2"/>
        <w:jc w:val="center"/>
        <w:rPr>
          <w:b/>
          <w:szCs w:val="32"/>
          <w:lang w:val="fr-FR"/>
        </w:rPr>
      </w:pPr>
      <w:r>
        <w:rPr>
          <w:b/>
          <w:szCs w:val="32"/>
          <w:lang w:val="fr-FR"/>
        </w:rPr>
      </w:r>
    </w:p>
    <w:p>
      <w:pPr>
        <w:pStyle w:val="Corptext2"/>
        <w:jc w:val="center"/>
        <w:rPr>
          <w:szCs w:val="32"/>
          <w:lang w:val="fr-FR"/>
        </w:rPr>
      </w:pPr>
      <w:r>
        <w:rPr>
          <w:szCs w:val="32"/>
          <w:lang w:val="fr-FR"/>
        </w:rPr>
      </w:r>
    </w:p>
    <w:p>
      <w:pPr>
        <w:pStyle w:val="Normal"/>
        <w:spacing w:lineRule="auto" w:line="360"/>
        <w:jc w:val="center"/>
        <w:rPr>
          <w:b/>
          <w:sz w:val="28"/>
          <w:szCs w:val="28"/>
          <w:lang w:val="en-US"/>
        </w:rPr>
      </w:pPr>
      <w:r>
        <w:rPr>
          <w:b/>
          <w:sz w:val="28"/>
          <w:szCs w:val="28"/>
          <w:lang w:val="en-US"/>
        </w:rPr>
        <w:t>Domnule Director,</w:t>
      </w:r>
    </w:p>
    <w:p>
      <w:pPr>
        <w:pStyle w:val="Normal"/>
        <w:spacing w:lineRule="auto" w:line="360"/>
        <w:jc w:val="center"/>
        <w:rPr>
          <w:b/>
          <w:sz w:val="28"/>
          <w:szCs w:val="28"/>
          <w:lang w:val="en-US"/>
        </w:rPr>
      </w:pPr>
      <w:r>
        <w:rPr>
          <w:b/>
          <w:sz w:val="28"/>
          <w:szCs w:val="28"/>
          <w:lang w:val="en-US"/>
        </w:rPr>
      </w:r>
    </w:p>
    <w:p>
      <w:pPr>
        <w:pStyle w:val="Normal"/>
        <w:spacing w:lineRule="auto" w:line="360"/>
        <w:ind w:firstLine="720" w:end="0"/>
        <w:jc w:val="both"/>
        <w:rPr/>
      </w:pPr>
      <w:r>
        <w:rPr>
          <w:sz w:val="24"/>
          <w:szCs w:val="24"/>
          <w:lang w:val="en-US"/>
        </w:rPr>
        <w:t>Subsemnatul</w:t>
      </w:r>
      <w:r>
        <w:rPr>
          <w:i/>
          <w:sz w:val="24"/>
          <w:szCs w:val="24"/>
          <w:lang w:val="en-US"/>
        </w:rPr>
        <w:t>(</w:t>
      </w:r>
      <w:r>
        <w:rPr>
          <w:sz w:val="24"/>
          <w:szCs w:val="24"/>
          <w:lang w:val="en-US"/>
        </w:rPr>
        <w:t>a) Dr</w:t>
      </w:r>
      <w:r>
        <w:rPr>
          <w:i/>
          <w:sz w:val="24"/>
          <w:szCs w:val="24"/>
          <w:lang w:val="en-US"/>
        </w:rPr>
        <w:t>.___________________________________</w:t>
      </w:r>
      <w:r>
        <w:rPr>
          <w:sz w:val="24"/>
          <w:szCs w:val="24"/>
          <w:lang w:val="en-US"/>
        </w:rPr>
        <w:t>domiciliat(</w:t>
      </w:r>
      <w:r>
        <w:rPr>
          <w:sz w:val="24"/>
          <w:szCs w:val="24"/>
          <w:lang w:val="ro-RO"/>
        </w:rPr>
        <w:t>ă</w:t>
      </w:r>
      <w:r>
        <w:rPr>
          <w:sz w:val="24"/>
          <w:szCs w:val="24"/>
          <w:lang w:val="en-US"/>
        </w:rPr>
        <w:t>) în____________________ str._________________________________, nr._______ bl.______, sc.__ ap.______ , jud. ______________________________telefon____________________________  </w:t>
      </w:r>
    </w:p>
    <w:p>
      <w:pPr>
        <w:pStyle w:val="Corptext2"/>
        <w:spacing w:lineRule="auto" w:line="360"/>
        <w:rPr>
          <w:b/>
          <w:sz w:val="24"/>
          <w:szCs w:val="24"/>
          <w:lang w:val="en-US"/>
        </w:rPr>
      </w:pPr>
      <w:r>
        <w:rPr>
          <w:sz w:val="24"/>
          <w:szCs w:val="24"/>
          <w:lang w:val="en-US"/>
        </w:rPr>
        <w:t>e</w:t>
      </w:r>
      <w:r>
        <w:rPr>
          <w:sz w:val="24"/>
          <w:szCs w:val="24"/>
          <w:lang w:val="ro-RO"/>
        </w:rPr>
        <w:t>-</w:t>
      </w:r>
      <w:r>
        <w:rPr>
          <w:sz w:val="24"/>
          <w:szCs w:val="24"/>
          <w:lang w:val="en-US"/>
        </w:rPr>
        <w:t>mail ________________________________________________________________________cu  specialitatea ____________________________ competenţe_____________________   supraspecializări_______________________codul de paraf</w:t>
      </w:r>
      <w:r>
        <w:rPr>
          <w:sz w:val="24"/>
          <w:szCs w:val="24"/>
          <w:lang w:val="ro-RO"/>
        </w:rPr>
        <w:t>ă</w:t>
      </w:r>
      <w:r>
        <w:rPr>
          <w:sz w:val="24"/>
          <w:szCs w:val="24"/>
          <w:lang w:val="en-US"/>
        </w:rPr>
        <w:t xml:space="preserve"> ______________, solicit a-mi aproba</w:t>
      </w:r>
      <w:r>
        <w:rPr>
          <w:b/>
          <w:sz w:val="24"/>
          <w:szCs w:val="24"/>
          <w:lang w:val="en-US"/>
        </w:rPr>
        <w:t xml:space="preserve"> înscrierea în Registrul Unic al Cabinetelor Medicale - Partea I  și:</w:t>
      </w:r>
    </w:p>
    <w:p>
      <w:pPr>
        <w:pStyle w:val="Corptext2"/>
        <w:spacing w:lineRule="auto" w:line="360"/>
        <w:rPr>
          <w:bCs/>
          <w:i/>
          <w:i/>
          <w:iCs/>
          <w:sz w:val="24"/>
          <w:szCs w:val="24"/>
          <w:lang w:val="fr-FR"/>
        </w:rPr>
      </w:pPr>
      <w:r>
        <w:rPr>
          <w:b/>
          <w:sz w:val="40"/>
          <w:szCs w:val="40"/>
          <w:lang w:val="fr-FR"/>
        </w:rPr>
        <w:t xml:space="preserve">□ </w:t>
      </w:r>
      <w:r>
        <w:rPr>
          <w:b/>
          <w:sz w:val="24"/>
          <w:szCs w:val="24"/>
          <w:lang w:val="fr-FR"/>
        </w:rPr>
        <w:t xml:space="preserve"> </w:t>
      </w:r>
      <w:r>
        <w:rPr>
          <w:b/>
          <w:i/>
          <w:iCs/>
          <w:sz w:val="24"/>
          <w:szCs w:val="24"/>
          <w:lang w:val="fr-FR"/>
        </w:rPr>
        <w:t xml:space="preserve">eliberarea CERTIFICATULUI DE ÎNREGISTRARE </w:t>
      </w:r>
      <w:r>
        <w:rPr>
          <w:bCs/>
          <w:i/>
          <w:iCs/>
          <w:sz w:val="24"/>
          <w:szCs w:val="24"/>
          <w:lang w:val="fr-FR"/>
        </w:rPr>
        <w:t>(pentru înființarea și înregistrarea cabinetului)</w:t>
      </w:r>
    </w:p>
    <w:p>
      <w:pPr>
        <w:pStyle w:val="Normal"/>
        <w:autoSpaceDE w:val="false"/>
        <w:jc w:val="both"/>
        <w:rPr>
          <w:i/>
          <w:i/>
          <w:iCs/>
          <w:sz w:val="28"/>
          <w:szCs w:val="28"/>
          <w:lang w:val="ro-RO" w:eastAsia="ro-RO"/>
        </w:rPr>
      </w:pPr>
      <w:r>
        <w:rPr>
          <w:b/>
          <w:sz w:val="40"/>
          <w:szCs w:val="40"/>
          <w:lang w:val="fr-FR"/>
        </w:rPr>
        <w:t xml:space="preserve">□ </w:t>
      </w:r>
      <w:r>
        <w:rPr>
          <w:b/>
          <w:sz w:val="24"/>
          <w:szCs w:val="24"/>
          <w:lang w:val="fr-FR"/>
        </w:rPr>
        <w:t xml:space="preserve"> </w:t>
      </w:r>
      <w:r>
        <w:rPr>
          <w:b/>
          <w:i/>
          <w:iCs/>
          <w:sz w:val="24"/>
          <w:szCs w:val="24"/>
          <w:lang w:val="fr-FR"/>
        </w:rPr>
        <w:t>eliberarea CERTIFICATULUI ANEXĂ</w:t>
      </w:r>
      <w:r>
        <w:rPr>
          <w:b/>
          <w:sz w:val="24"/>
          <w:szCs w:val="24"/>
          <w:lang w:val="fr-FR"/>
        </w:rPr>
        <w:t xml:space="preserve"> (</w:t>
      </w:r>
      <w:r>
        <w:rPr>
          <w:i/>
          <w:iCs/>
          <w:sz w:val="24"/>
          <w:szCs w:val="24"/>
          <w:lang w:val="ro-RO" w:eastAsia="ro-RO"/>
        </w:rPr>
        <w:t>în cazul reorganizării cabinetului medical prin: modificarea structurii organizatorice, schimbarea sediului lucrativ, modificarea obiectului de activitate prevăzut în autorizaţia sanitară de funcţionare)</w:t>
      </w:r>
      <w:r>
        <w:rPr>
          <w:i/>
          <w:iCs/>
          <w:sz w:val="28"/>
          <w:szCs w:val="28"/>
          <w:lang w:val="ro-RO" w:eastAsia="ro-RO"/>
        </w:rPr>
        <w:t>.</w:t>
      </w:r>
    </w:p>
    <w:p>
      <w:pPr>
        <w:pStyle w:val="Corptext2"/>
        <w:spacing w:lineRule="auto" w:line="360"/>
        <w:rPr>
          <w:b/>
          <w:i/>
          <w:i/>
          <w:iCs/>
          <w:sz w:val="24"/>
          <w:szCs w:val="24"/>
          <w:lang w:val="fr-FR" w:eastAsia="ro-RO"/>
        </w:rPr>
      </w:pPr>
      <w:r>
        <w:rPr>
          <w:b/>
          <w:i/>
          <w:iCs/>
          <w:sz w:val="24"/>
          <w:szCs w:val="24"/>
          <w:lang w:val="fr-FR" w:eastAsia="ro-RO"/>
        </w:rPr>
      </w:r>
    </w:p>
    <w:p>
      <w:pPr>
        <w:pStyle w:val="Normal"/>
        <w:spacing w:lineRule="auto" w:line="360"/>
        <w:jc w:val="both"/>
        <w:rPr>
          <w:b/>
          <w:sz w:val="24"/>
          <w:szCs w:val="24"/>
          <w:lang w:val="en-US"/>
        </w:rPr>
      </w:pPr>
      <w:r>
        <w:rPr>
          <w:b/>
          <w:sz w:val="24"/>
          <w:szCs w:val="24"/>
          <w:lang w:val="en-US"/>
        </w:rPr>
      </w:r>
    </w:p>
    <w:p>
      <w:pPr>
        <w:pStyle w:val="Normal"/>
        <w:spacing w:lineRule="auto" w:line="360"/>
        <w:jc w:val="both"/>
        <w:rPr/>
      </w:pPr>
      <w:r>
        <w:rPr>
          <w:sz w:val="24"/>
          <w:szCs w:val="24"/>
          <w:lang w:val="en-US"/>
        </w:rPr>
        <w:t>____________________________________________________________________________, loc. _________________________str.______________________ nr.___, bl.____, sc.___, ap____,cabinet ______ jud. _________________  telefon ____________ email ______________________________________________________________.</w:t>
      </w:r>
    </w:p>
    <w:p>
      <w:pPr>
        <w:pStyle w:val="Normal"/>
        <w:spacing w:lineRule="auto" w:line="360"/>
        <w:jc w:val="both"/>
        <w:rPr>
          <w:b/>
          <w:sz w:val="24"/>
          <w:szCs w:val="24"/>
          <w:lang w:val="es-ES_tradnl"/>
        </w:rPr>
      </w:pPr>
      <w:r>
        <w:rPr>
          <w:b/>
          <w:sz w:val="24"/>
          <w:szCs w:val="24"/>
          <w:lang w:val="es-ES_tradnl"/>
        </w:rPr>
      </w:r>
    </w:p>
    <w:p>
      <w:pPr>
        <w:pStyle w:val="Normal"/>
        <w:spacing w:lineRule="auto" w:line="360"/>
        <w:jc w:val="both"/>
        <w:rPr/>
      </w:pPr>
      <w:r>
        <w:rPr>
          <w:b/>
          <w:sz w:val="24"/>
          <w:szCs w:val="24"/>
          <w:lang w:val="es-ES_tradnl"/>
        </w:rPr>
        <w:t>Punct de lucru:</w:t>
      </w:r>
      <w:r>
        <w:rPr>
          <w:sz w:val="24"/>
          <w:szCs w:val="24"/>
          <w:lang w:val="es-ES_tradnl"/>
        </w:rPr>
        <w:t xml:space="preserve"> loc. _______________________________str.______________________________, nr._____, bl.___, sc.____ ap___, jud. _________________________telefon ___________________.</w:t>
      </w:r>
    </w:p>
    <w:p>
      <w:pPr>
        <w:pStyle w:val="Normal"/>
        <w:spacing w:lineRule="auto" w:line="360" w:before="120" w:after="0"/>
        <w:jc w:val="both"/>
        <w:rPr/>
      </w:pPr>
      <w:r>
        <w:rPr>
          <w:sz w:val="24"/>
          <w:szCs w:val="24"/>
          <w:lang w:val="es-ES_tradnl"/>
        </w:rPr>
        <w:tab/>
      </w:r>
      <w:r>
        <w:rPr>
          <w:sz w:val="24"/>
          <w:szCs w:val="24"/>
          <w:lang w:val="it-IT"/>
        </w:rPr>
        <w:t xml:space="preserve">Menţionez că, </w:t>
      </w:r>
      <w:r>
        <w:rPr>
          <w:sz w:val="24"/>
          <w:szCs w:val="24"/>
          <w:lang w:val="ro-RO"/>
        </w:rPr>
        <w:t>în ca</w:t>
      </w:r>
      <w:r>
        <w:rPr>
          <w:sz w:val="24"/>
          <w:szCs w:val="24"/>
          <w:lang w:val="it-IT"/>
        </w:rPr>
        <w:t>drul unităţii medicale îsi desfaşoară activitatea următorul personal, conform anexei atașate.</w:t>
      </w:r>
    </w:p>
    <w:p>
      <w:pPr>
        <w:pStyle w:val="Normal"/>
        <w:spacing w:lineRule="auto" w:line="360" w:before="120" w:after="0"/>
        <w:jc w:val="both"/>
        <w:rPr/>
      </w:pPr>
      <w:r>
        <w:rPr>
          <w:sz w:val="24"/>
          <w:szCs w:val="24"/>
          <w:lang w:val="it-IT"/>
        </w:rPr>
        <w:tab/>
      </w:r>
      <w:r>
        <w:rPr>
          <w:sz w:val="24"/>
          <w:szCs w:val="24"/>
          <w:lang w:val="pt-BR"/>
        </w:rPr>
        <w:t>Contratură medic ______________________________________________</w:t>
      </w:r>
    </w:p>
    <w:p>
      <w:pPr>
        <w:pStyle w:val="Normal"/>
        <w:spacing w:lineRule="auto" w:line="360"/>
        <w:jc w:val="both"/>
        <w:rPr>
          <w:b/>
          <w:sz w:val="24"/>
          <w:szCs w:val="24"/>
          <w:lang w:val="pt-BR"/>
        </w:rPr>
      </w:pPr>
      <w:r>
        <w:rPr>
          <w:b/>
          <w:sz w:val="24"/>
          <w:szCs w:val="24"/>
          <w:lang w:val="pt-BR"/>
        </w:rPr>
      </w:r>
    </w:p>
    <w:p>
      <w:pPr>
        <w:pStyle w:val="Normal"/>
        <w:spacing w:lineRule="auto" w:line="360"/>
        <w:ind w:firstLine="720" w:end="0"/>
        <w:jc w:val="both"/>
        <w:rPr>
          <w:b/>
          <w:sz w:val="24"/>
          <w:szCs w:val="24"/>
          <w:lang w:val="pt-BR"/>
        </w:rPr>
      </w:pPr>
      <w:r>
        <w:rPr>
          <w:b/>
          <w:sz w:val="24"/>
          <w:szCs w:val="24"/>
          <w:lang w:val="pt-BR"/>
        </w:rPr>
        <w:t>Anexez alăturat următoarele documente în conformitate cu prevederile art. 16 din O.M.S. nr. 1670/2025 cu modificările și completările ulterioare:</w:t>
      </w:r>
    </w:p>
    <w:p>
      <w:pPr>
        <w:pStyle w:val="Normal"/>
        <w:autoSpaceDE w:val="false"/>
        <w:jc w:val="both"/>
        <w:rPr>
          <w:sz w:val="24"/>
          <w:szCs w:val="24"/>
          <w:lang w:val="ro-RO" w:eastAsia="ro-RO"/>
        </w:rPr>
      </w:pPr>
      <w:r>
        <w:rPr>
          <w:sz w:val="28"/>
          <w:szCs w:val="28"/>
          <w:lang w:val="ro-RO" w:eastAsia="ro-RO"/>
        </w:rPr>
        <w:t xml:space="preserve">    </w:t>
      </w:r>
      <w:r>
        <w:rPr>
          <w:sz w:val="24"/>
          <w:szCs w:val="24"/>
          <w:lang w:val="ro-RO" w:eastAsia="ro-RO"/>
        </w:rPr>
        <w:t xml:space="preserve">a) copie de pe autorizaţia sanitară de funcţionare; - </w:t>
      </w:r>
      <w:r>
        <w:rPr>
          <w:b/>
          <w:bCs/>
          <w:i/>
          <w:iCs/>
          <w:sz w:val="24"/>
          <w:szCs w:val="24"/>
          <w:lang w:val="ro-RO" w:eastAsia="ro-RO"/>
        </w:rPr>
        <w:t>da</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b) lista cu dotarea minimă existentă în concordanţă cu serviciile furnizate, prevăzută în </w:t>
      </w:r>
      <w:r>
        <w:rPr>
          <w:b/>
          <w:bCs/>
          <w:sz w:val="24"/>
          <w:szCs w:val="24"/>
          <w:u w:val="single"/>
          <w:lang w:val="ro-RO" w:eastAsia="ro-RO"/>
        </w:rPr>
        <w:t>anexa nr. 4</w:t>
      </w:r>
      <w:r>
        <w:rPr>
          <w:sz w:val="24"/>
          <w:szCs w:val="24"/>
          <w:lang w:val="ro-RO" w:eastAsia="ro-RO"/>
        </w:rPr>
        <w:t xml:space="preserve"> la prezentele norme metodologice; în cazul cabinetelor medicale cu obiect secundar de activitate servicii publice conexe actului medical, se va prezenta şi lista cu dotarea minimă existentă pentru furnizarea acestor servicii, prevăzută în </w:t>
      </w:r>
      <w:r>
        <w:rPr>
          <w:sz w:val="24"/>
          <w:szCs w:val="24"/>
          <w:u w:val="single"/>
          <w:lang w:val="ro-RO" w:eastAsia="ro-RO"/>
        </w:rPr>
        <w:t>anexa nr. 2</w:t>
      </w:r>
      <w:r>
        <w:rPr>
          <w:sz w:val="24"/>
          <w:szCs w:val="24"/>
          <w:lang w:val="ro-RO" w:eastAsia="ro-RO"/>
        </w:rPr>
        <w:t xml:space="preserve"> la Ordinul ministrului sănătăţii nr. 1992/2023 pentru aprobarea condiţiilor de organizare şi funcţionare a serviciilor publice conexe actului medical în mod independent, prin cabinete de practică, precum şi a condiţiilor de dotare minimă obligatorie ale acestora, cu modificările şi completările ulterioare; </w:t>
      </w:r>
      <w:r>
        <w:rPr>
          <w:b/>
          <w:bCs/>
          <w:i/>
          <w:iCs/>
          <w:sz w:val="24"/>
          <w:szCs w:val="24"/>
          <w:lang w:val="ro-RO" w:eastAsia="ro-RO"/>
        </w:rPr>
        <w:t>- da</w:t>
      </w:r>
    </w:p>
    <w:p>
      <w:pPr>
        <w:pStyle w:val="Normal"/>
        <w:autoSpaceDE w:val="false"/>
        <w:jc w:val="both"/>
        <w:rPr>
          <w:b/>
          <w:bCs/>
          <w:i/>
          <w:i/>
          <w:iCs/>
          <w:sz w:val="24"/>
          <w:szCs w:val="24"/>
          <w:lang w:val="ro-RO" w:eastAsia="ro-RO"/>
        </w:rPr>
      </w:pPr>
      <w:r>
        <w:rPr>
          <w:sz w:val="24"/>
          <w:szCs w:val="24"/>
          <w:lang w:val="ro-RO" w:eastAsia="ro-RO"/>
        </w:rPr>
        <w:t xml:space="preserve">    </w:t>
      </w:r>
      <w:r>
        <w:rPr>
          <w:sz w:val="24"/>
          <w:szCs w:val="24"/>
          <w:lang w:val="ro-RO" w:eastAsia="ro-RO"/>
        </w:rPr>
        <w:t xml:space="preserve">c) dovada deţinerii legale a spaţiului în care urmează să funcţioneze cabinetul medical; În cazul cabinetelor de medicina muncii fără personalitate juridică înfiinţate în cadrul instituţiile publice pentru angajaţii proprii, se solicită organigrama/statul de organizare a persoanei juridice din care trebuie să reiasă includerea în structură a serviciilor interne de prevenire şi protecţie a lucrătorilor/cabinetelor de medicina muncii; În cazul cabinetelor din cadrul unităţilor de învăţământ preuniversitar se solicită dovada emisă de unitatea administrativ-teritorială privind organizarea respectivului cabinet; </w:t>
      </w:r>
      <w:r>
        <w:rPr>
          <w:b/>
          <w:bCs/>
          <w:i/>
          <w:iCs/>
          <w:sz w:val="24"/>
          <w:szCs w:val="24"/>
          <w:lang w:val="ro-RO" w:eastAsia="ro-RO"/>
        </w:rPr>
        <w:t>- da</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d) avizul structurilor teritoriale ale Colegiului Medicilor din România sau Colegiului Medicilor Stomatologi din România, după caz, privind înfiinţarea cabinetului medical; </w:t>
      </w:r>
      <w:r>
        <w:rPr>
          <w:b/>
          <w:bCs/>
          <w:i/>
          <w:iCs/>
          <w:sz w:val="24"/>
          <w:szCs w:val="24"/>
          <w:lang w:val="ro-RO" w:eastAsia="ro-RO"/>
        </w:rPr>
        <w:t>- da</w:t>
      </w:r>
    </w:p>
    <w:p>
      <w:pPr>
        <w:pStyle w:val="Normal"/>
        <w:autoSpaceDE w:val="false"/>
        <w:jc w:val="both"/>
        <w:rPr>
          <w:b/>
          <w:bCs/>
          <w:i/>
          <w:i/>
          <w:iCs/>
          <w:sz w:val="24"/>
          <w:szCs w:val="24"/>
          <w:lang w:val="ro-RO" w:eastAsia="ro-RO"/>
        </w:rPr>
      </w:pPr>
      <w:r>
        <w:rPr>
          <w:sz w:val="24"/>
          <w:szCs w:val="24"/>
          <w:lang w:val="ro-RO" w:eastAsia="ro-RO"/>
        </w:rPr>
        <w:t xml:space="preserve">    </w:t>
      </w:r>
      <w:r>
        <w:rPr>
          <w:sz w:val="24"/>
          <w:szCs w:val="24"/>
          <w:lang w:val="ro-RO" w:eastAsia="ro-RO"/>
        </w:rPr>
        <w:t xml:space="preserve">e) în cazul cabinetelor înfiinţate în baza </w:t>
      </w:r>
      <w:r>
        <w:rPr>
          <w:sz w:val="24"/>
          <w:szCs w:val="24"/>
          <w:u w:val="single"/>
          <w:lang w:val="ro-RO" w:eastAsia="ro-RO"/>
        </w:rPr>
        <w:t>Legii nr. 31/1990</w:t>
      </w:r>
      <w:r>
        <w:rPr>
          <w:sz w:val="24"/>
          <w:szCs w:val="24"/>
          <w:lang w:val="ro-RO" w:eastAsia="ro-RO"/>
        </w:rPr>
        <w:t xml:space="preserve">, republicată, cu modificările şi completările ulterioare, este necesar certificatul de înregistrare la registrul comerţului cu consemnarea codului CAEN, certificatul constatator cu consemnarea sediului cabinetului medical şi statutul/actul constitutiv al societăţii din care să rezulte obiectul de activitate conform </w:t>
      </w:r>
      <w:r>
        <w:rPr>
          <w:sz w:val="24"/>
          <w:szCs w:val="24"/>
          <w:u w:val="single"/>
          <w:lang w:val="ro-RO" w:eastAsia="ro-RO"/>
        </w:rPr>
        <w:t>art. 5</w:t>
      </w:r>
      <w:r>
        <w:rPr>
          <w:sz w:val="24"/>
          <w:szCs w:val="24"/>
          <w:lang w:val="ro-RO" w:eastAsia="ro-RO"/>
        </w:rPr>
        <w:t xml:space="preserve">; </w:t>
      </w:r>
      <w:bookmarkStart w:id="0" w:name="_Hlk243386974"/>
      <w:r>
        <w:rPr>
          <w:b/>
          <w:bCs/>
          <w:i/>
          <w:iCs/>
          <w:sz w:val="24"/>
          <w:szCs w:val="24"/>
          <w:lang w:val="ro-RO" w:eastAsia="ro-RO"/>
        </w:rPr>
        <w:t>- nu este cazul</w:t>
      </w:r>
      <w:bookmarkEnd w:id="0"/>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f) în cazul cabinetelor înfiinţate în cadrul asociaţiilor şi fundaţiilor constituite conform </w:t>
      </w:r>
      <w:r>
        <w:rPr>
          <w:sz w:val="24"/>
          <w:szCs w:val="24"/>
          <w:u w:val="single"/>
          <w:lang w:val="ro-RO" w:eastAsia="ro-RO"/>
        </w:rPr>
        <w:t>Ordonanţei Guvernului nr. 26/2000</w:t>
      </w:r>
      <w:r>
        <w:rPr>
          <w:sz w:val="24"/>
          <w:szCs w:val="24"/>
          <w:lang w:val="ro-RO" w:eastAsia="ro-RO"/>
        </w:rPr>
        <w:t xml:space="preserve">, cu modificările şi completările ulterioare, sunt necesare dovada dobândirii personalităţii juridice precum certificatul de înregistrare în registrul persoanelor juridice, ori hotărârea judecătorească de înfiinţare şi statutul asociaţiei sau fundaţiei în care sunt prevăzute serviciile medicale care urmează a fi furnizate; </w:t>
      </w:r>
      <w:r>
        <w:rPr>
          <w:b/>
          <w:bCs/>
          <w:i/>
          <w:iCs/>
          <w:sz w:val="24"/>
          <w:szCs w:val="24"/>
          <w:lang w:val="ro-RO" w:eastAsia="ro-RO"/>
        </w:rPr>
        <w:t>- da/nu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g) în cazul cabinetelor înfiinţate în cadrul cultelor religioase sau lăcaşelor de cult religios este necesară hotărârea organelor de conducere privind înfiinţarea cabinetelor medicale în cadrul acestora;</w:t>
      </w:r>
      <w:r>
        <w:rPr>
          <w:b/>
          <w:bCs/>
          <w:i/>
          <w:iCs/>
          <w:sz w:val="24"/>
          <w:szCs w:val="24"/>
          <w:lang w:val="ro-RO" w:eastAsia="ro-RO"/>
        </w:rPr>
        <w:t xml:space="preserve"> - da/nu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h) în cazul cabinetelor de medicină sportivă organizate conform </w:t>
      </w:r>
      <w:r>
        <w:rPr>
          <w:sz w:val="24"/>
          <w:szCs w:val="24"/>
          <w:u w:val="single"/>
          <w:lang w:val="ro-RO" w:eastAsia="ro-RO"/>
        </w:rPr>
        <w:t>art. 6</w:t>
      </w:r>
      <w:r>
        <w:rPr>
          <w:sz w:val="24"/>
          <w:szCs w:val="24"/>
          <w:lang w:val="ro-RO" w:eastAsia="ro-RO"/>
        </w:rPr>
        <w:t xml:space="preserve"> lit. c) din Legea nr. 321/2007 în cadrul structurilor sportive, organizaţiilor sportive naţionale şi instituţiilor publice cu atribuţii în sport este necesar documentul satutar al instituţiei sportive/cu atribuţii în sport în care sunt prevăzute şi serviciile de medicină sportivă;</w:t>
      </w:r>
      <w:r>
        <w:rPr>
          <w:b/>
          <w:bCs/>
          <w:i/>
          <w:iCs/>
          <w:sz w:val="24"/>
          <w:szCs w:val="24"/>
          <w:lang w:val="ro-RO" w:eastAsia="ro-RO"/>
        </w:rPr>
        <w:t xml:space="preserve"> - da/nu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i) în cazul cabinetelor medicale grupate sau asociate este necesară convenţia de grupare sau asociere;</w:t>
      </w:r>
      <w:r>
        <w:rPr>
          <w:b/>
          <w:bCs/>
          <w:i/>
          <w:iCs/>
          <w:sz w:val="24"/>
          <w:szCs w:val="24"/>
          <w:lang w:val="ro-RO" w:eastAsia="ro-RO"/>
        </w:rPr>
        <w:t xml:space="preserve"> - da/nu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j) în cazul societăţilor civile medicale este necesar şi contractul de asociere;</w:t>
      </w:r>
      <w:r>
        <w:rPr>
          <w:b/>
          <w:bCs/>
          <w:i/>
          <w:iCs/>
          <w:sz w:val="24"/>
          <w:szCs w:val="24"/>
          <w:lang w:val="ro-RO" w:eastAsia="ro-RO"/>
        </w:rPr>
        <w:t xml:space="preserve"> - da/nu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k) în cazul cabinetelor de radioterapie, radiologie medicală şi stomatologică este necesară şi autorizaţia de securitate radiologică emisă în baza </w:t>
      </w:r>
      <w:r>
        <w:rPr>
          <w:sz w:val="24"/>
          <w:szCs w:val="24"/>
          <w:u w:val="single"/>
          <w:lang w:val="ro-RO" w:eastAsia="ro-RO"/>
        </w:rPr>
        <w:t>Legii nr. 111/1996</w:t>
      </w:r>
      <w:r>
        <w:rPr>
          <w:sz w:val="24"/>
          <w:szCs w:val="24"/>
          <w:lang w:val="ro-RO" w:eastAsia="ro-RO"/>
        </w:rPr>
        <w:t xml:space="preserve"> privind desfăşurarea în siguranţă, reglementarea, autorizarea şi controlul activităţilor nucleare, republicată, cu modificările şi completările ulterioare;</w:t>
      </w:r>
      <w:r>
        <w:rPr>
          <w:b/>
          <w:bCs/>
          <w:i/>
          <w:iCs/>
          <w:sz w:val="24"/>
          <w:szCs w:val="24"/>
          <w:lang w:val="ro-RO" w:eastAsia="ro-RO"/>
        </w:rPr>
        <w:t xml:space="preserve"> - da/nu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l) în cazul cabinetelor de recuperare, medicină fizică şi balneologie fără personalitate juridică din cadrul centrelor de servicii de recuperare neuromotorie de tip ambulatoriu pentru persoanele adulte cu dizabilităţi din structura instituţiilor publice de asistenţă socială este necesară dovada existenţei în structura acestor instituţii a centrelor de servicii de recuperare neuromotorie de tip ambulatoriu pentru persoanele adulte cu dizabilităţi;</w:t>
      </w:r>
      <w:r>
        <w:rPr>
          <w:b/>
          <w:bCs/>
          <w:i/>
          <w:iCs/>
          <w:sz w:val="24"/>
          <w:szCs w:val="24"/>
          <w:lang w:val="ro-RO" w:eastAsia="ro-RO"/>
        </w:rPr>
        <w:t xml:space="preserve"> - da/nu este cazul</w:t>
      </w:r>
    </w:p>
    <w:p>
      <w:pPr>
        <w:pStyle w:val="Normal"/>
        <w:autoSpaceDE w:val="false"/>
        <w:jc w:val="both"/>
        <w:rPr>
          <w:b/>
          <w:bCs/>
          <w:i/>
          <w:i/>
          <w:iCs/>
          <w:sz w:val="24"/>
          <w:szCs w:val="24"/>
          <w:lang w:val="ro-RO" w:eastAsia="ro-RO"/>
        </w:rPr>
      </w:pPr>
      <w:r>
        <w:rPr>
          <w:sz w:val="24"/>
          <w:szCs w:val="24"/>
          <w:lang w:val="ro-RO" w:eastAsia="ro-RO"/>
        </w:rPr>
        <w:t xml:space="preserve">    </w:t>
      </w:r>
      <w:r>
        <w:rPr>
          <w:sz w:val="24"/>
          <w:szCs w:val="24"/>
          <w:lang w:val="ro-RO" w:eastAsia="ro-RO"/>
        </w:rPr>
        <w:t>m) în cazul cabinetelor medicale în cadrul cărora urmează să îşi desfăşoare activitatea personal autorizat pentru furnizarea serviciilor medicale şi, după caz, personal autorizat pentru exercitarea serviciilor publice conexe actului medical este necesară declaraţia pe propria răspundere a reprezentantului legal, care cuprinde lista actualizată a personalului autorizat pentru furnizarea serviciilor medicale şi, după caz, a personalului autorizat pentru exercitarea serviciilor publice conexe actului medical, însoţită de documentele care atestă dreptul de liberă practică al acestora, cu viza în termen, potrivit legii, precum şi de contractele de muncă/colaborare.</w:t>
      </w:r>
      <w:r>
        <w:rPr>
          <w:b/>
          <w:bCs/>
          <w:i/>
          <w:iCs/>
          <w:sz w:val="24"/>
          <w:szCs w:val="24"/>
          <w:lang w:val="ro-RO" w:eastAsia="ro-RO"/>
        </w:rPr>
        <w:t xml:space="preserve"> - da/nu este cazul</w:t>
      </w:r>
    </w:p>
    <w:p>
      <w:pPr>
        <w:pStyle w:val="Normal"/>
        <w:autoSpaceDE w:val="false"/>
        <w:jc w:val="both"/>
        <w:rPr>
          <w:sz w:val="24"/>
          <w:szCs w:val="24"/>
          <w:lang w:val="ro-RO" w:eastAsia="ro-RO"/>
        </w:rPr>
      </w:pPr>
      <w:r>
        <w:rPr>
          <w:b/>
          <w:bCs/>
          <w:i/>
          <w:iCs/>
          <w:sz w:val="24"/>
          <w:szCs w:val="24"/>
          <w:lang w:val="ro-RO" w:eastAsia="ro-RO"/>
        </w:rPr>
        <w:t xml:space="preserve">      </w:t>
      </w:r>
      <w:r>
        <w:rPr>
          <w:sz w:val="24"/>
          <w:szCs w:val="24"/>
          <w:lang w:val="ro-RO" w:eastAsia="ro-RO"/>
        </w:rPr>
        <w:t>n) certificat de înregistrare fiscală</w:t>
      </w:r>
      <w:r>
        <w:rPr>
          <w:b/>
          <w:bCs/>
          <w:i/>
          <w:iCs/>
          <w:sz w:val="24"/>
          <w:szCs w:val="24"/>
          <w:lang w:val="ro-RO" w:eastAsia="ro-RO"/>
        </w:rPr>
        <w:t xml:space="preserve"> – da.</w:t>
      </w:r>
    </w:p>
    <w:p>
      <w:pPr>
        <w:pStyle w:val="Normal"/>
        <w:spacing w:before="280" w:after="280"/>
        <w:ind w:firstLine="360" w:end="0"/>
        <w:jc w:val="both"/>
        <w:rPr>
          <w:b/>
          <w:bCs/>
          <w:i/>
          <w:i/>
          <w:iCs/>
          <w:sz w:val="24"/>
          <w:szCs w:val="24"/>
          <w:u w:val="single"/>
          <w:lang w:val="en-US"/>
        </w:rPr>
      </w:pPr>
      <w:r>
        <w:rPr>
          <w:b/>
          <w:bCs/>
          <w:i/>
          <w:iCs/>
          <w:sz w:val="24"/>
          <w:szCs w:val="24"/>
          <w:u w:val="single"/>
          <w:lang w:val="en-US"/>
        </w:rPr>
        <w:t>În conformitate cu prevederile art. 17 din O.M.S. nr. 1670/2025:</w:t>
      </w:r>
    </w:p>
    <w:p>
      <w:pPr>
        <w:pStyle w:val="Normal"/>
        <w:spacing w:before="280" w:after="280"/>
        <w:ind w:firstLine="360" w:end="0"/>
        <w:jc w:val="both"/>
        <w:rPr>
          <w:b/>
          <w:bCs/>
          <w:i/>
          <w:i/>
          <w:iCs/>
          <w:sz w:val="24"/>
          <w:szCs w:val="24"/>
          <w:lang w:val="en-US"/>
        </w:rPr>
      </w:pPr>
      <w:r>
        <w:rPr>
          <w:b/>
          <w:bCs/>
          <w:i/>
          <w:iCs/>
          <w:sz w:val="24"/>
          <w:szCs w:val="24"/>
          <w:lang w:val="en-US"/>
        </w:rPr>
        <w:t xml:space="preserve">Serviciile medicale sunt furnizate exclusiv de personal medical autorizat. </w:t>
      </w:r>
    </w:p>
    <w:p>
      <w:pPr>
        <w:pStyle w:val="Normal"/>
        <w:spacing w:before="280" w:after="280"/>
        <w:ind w:firstLine="360" w:end="0"/>
        <w:jc w:val="both"/>
        <w:rPr>
          <w:b/>
          <w:i/>
          <w:i/>
          <w:sz w:val="24"/>
          <w:szCs w:val="24"/>
          <w:lang w:val="en-US"/>
        </w:rPr>
      </w:pPr>
      <w:r>
        <w:rPr>
          <w:bCs/>
          <w:i/>
          <w:iCs/>
          <w:sz w:val="24"/>
          <w:szCs w:val="24"/>
          <w:lang w:val="en-US"/>
        </w:rPr>
        <w:t>Serviciile publice conexe actului medical din cadrul cabinetelor medicale sunt furnizate, exclusiv, de personal autorizat conform prevederilor </w:t>
      </w:r>
      <w:hyperlink r:id="rId2">
        <w:r>
          <w:rPr>
            <w:rStyle w:val="Hyperlink"/>
            <w:iCs/>
            <w:sz w:val="24"/>
            <w:szCs w:val="24"/>
            <w:u w:val="single"/>
            <w:lang w:val="en-US"/>
          </w:rPr>
          <w:t>art. 1</w:t>
        </w:r>
      </w:hyperlink>
      <w:r>
        <w:rPr>
          <w:b/>
          <w:bCs/>
          <w:i/>
          <w:iCs/>
          <w:sz w:val="24"/>
          <w:szCs w:val="24"/>
          <w:u w:val="single"/>
          <w:lang w:val="en-US"/>
        </w:rPr>
        <w:t> </w:t>
      </w:r>
      <w:r>
        <w:rPr>
          <w:bCs/>
          <w:i/>
          <w:iCs/>
          <w:sz w:val="24"/>
          <w:szCs w:val="24"/>
          <w:lang w:val="en-US"/>
        </w:rPr>
        <w:t>alin. (3) din Ordonanţa de urgenţă a Guvernului nr. 83/2000 privind serviciile publice conexe actului medical, aprobată cu modificări prin Legea nr. 598/2001, cu modificările şi completările ulterioare.</w:t>
      </w:r>
    </w:p>
    <w:p>
      <w:pPr>
        <w:pStyle w:val="Normal"/>
        <w:spacing w:before="280" w:after="280"/>
        <w:ind w:firstLine="360" w:end="0"/>
        <w:jc w:val="both"/>
        <w:rPr>
          <w:b/>
          <w:bCs/>
          <w:i/>
          <w:i/>
          <w:iCs/>
          <w:sz w:val="24"/>
          <w:szCs w:val="24"/>
          <w:u w:val="single"/>
          <w:lang w:val="en-US"/>
        </w:rPr>
      </w:pPr>
      <w:r>
        <w:rPr>
          <w:b/>
          <w:bCs/>
          <w:i/>
          <w:iCs/>
          <w:sz w:val="24"/>
          <w:szCs w:val="24"/>
          <w:u w:val="single"/>
          <w:lang w:val="en-US"/>
        </w:rPr>
        <w:t>Reprezentantul legal al cabinetului medical, indiferent de forma de organizare a acestuia, deţine lista actualizată a personalului medical autorizat pentru furnizarea serviciilor medicale și conexe actului medical specifice cabinetului medical, precum şi copia documentelor care atestă dreptul de liberă practică al acestora cu viza în termen.</w:t>
      </w:r>
    </w:p>
    <w:p>
      <w:pPr>
        <w:pStyle w:val="Normal"/>
        <w:spacing w:before="280" w:after="280"/>
        <w:ind w:firstLine="360" w:end="0"/>
        <w:jc w:val="both"/>
        <w:rPr>
          <w:i/>
          <w:i/>
          <w:sz w:val="24"/>
          <w:szCs w:val="24"/>
          <w:u w:val="single"/>
          <w:lang w:val="en-US"/>
        </w:rPr>
      </w:pPr>
      <w:r>
        <w:rPr>
          <w:i/>
          <w:iCs/>
          <w:sz w:val="28"/>
          <w:szCs w:val="28"/>
          <w:lang w:val="ro-RO" w:eastAsia="ro-RO"/>
        </w:rPr>
        <w:t>Orice modificare a listei personalului se notifică D.S.P.J. Neamț, în termen de 5 zile lucrătoare de la data producerii acesteia.</w:t>
      </w:r>
    </w:p>
    <w:p>
      <w:pPr>
        <w:pStyle w:val="Normal"/>
        <w:spacing w:lineRule="auto" w:line="360"/>
        <w:ind w:start="360" w:end="0"/>
        <w:jc w:val="both"/>
        <w:rPr>
          <w:b/>
          <w:i/>
          <w:i/>
          <w:sz w:val="24"/>
          <w:szCs w:val="24"/>
          <w:u w:val="single"/>
          <w:lang w:val="pt-BR"/>
        </w:rPr>
      </w:pPr>
      <w:r>
        <w:rPr>
          <w:b/>
          <w:i/>
          <w:sz w:val="24"/>
          <w:szCs w:val="24"/>
          <w:u w:val="single"/>
          <w:lang w:val="pt-BR"/>
        </w:rPr>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t>Data:</w:t>
        <w:tab/>
        <w:tab/>
        <w:tab/>
        <w:tab/>
        <w:tab/>
        <w:tab/>
        <w:tab/>
        <w:tab/>
        <w:t xml:space="preserve">             Semnătura:</w:t>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r>
    </w:p>
    <w:p>
      <w:pPr>
        <w:pStyle w:val="Corptext2"/>
        <w:rPr>
          <w:b/>
          <w:sz w:val="16"/>
          <w:szCs w:val="16"/>
          <w:lang w:val="pt-BR"/>
        </w:rPr>
      </w:pPr>
      <w:r>
        <w:rPr>
          <w:b/>
          <w:sz w:val="16"/>
          <w:szCs w:val="16"/>
          <w:lang w:val="pt-BR"/>
        </w:rPr>
      </w:r>
    </w:p>
    <w:p>
      <w:pPr>
        <w:pStyle w:val="Corptext2"/>
        <w:rPr>
          <w:sz w:val="16"/>
          <w:szCs w:val="16"/>
          <w:lang w:val="pt-BR"/>
        </w:rPr>
      </w:pPr>
      <w:r>
        <w:rPr>
          <w:sz w:val="16"/>
          <w:szCs w:val="16"/>
          <w:lang w:val="pt-BR"/>
        </w:rPr>
      </w:r>
    </w:p>
    <w:p>
      <w:pPr>
        <w:pStyle w:val="Corptext2"/>
        <w:rPr>
          <w:sz w:val="16"/>
          <w:szCs w:val="16"/>
          <w:lang w:val="pt-BR"/>
        </w:rPr>
      </w:pPr>
      <w:r>
        <w:rPr>
          <w:sz w:val="16"/>
          <w:szCs w:val="16"/>
          <w:lang w:val="pt-BR"/>
        </w:rPr>
      </w:r>
    </w:p>
    <w:p>
      <w:pPr>
        <w:pStyle w:val="Corptext2"/>
        <w:rPr>
          <w:sz w:val="16"/>
          <w:szCs w:val="16"/>
          <w:lang w:val="pt-BR"/>
        </w:rPr>
      </w:pPr>
      <w:r>
        <w:rPr>
          <w:sz w:val="16"/>
          <w:szCs w:val="16"/>
          <w:lang w:val="pt-BR"/>
        </w:rPr>
      </w:r>
    </w:p>
    <w:p>
      <w:pPr>
        <w:pStyle w:val="Normal"/>
        <w:rPr>
          <w:sz w:val="16"/>
          <w:szCs w:val="22"/>
          <w:lang w:val="pt-BR"/>
        </w:rPr>
      </w:pPr>
      <w:r>
        <w:rPr>
          <w:sz w:val="16"/>
          <w:szCs w:val="22"/>
          <w:lang w:val="pt-BR"/>
        </w:rPr>
      </w:r>
    </w:p>
    <w:sectPr>
      <w:headerReference w:type="default" r:id="rId3"/>
      <w:headerReference w:type="first" r:id="rId4"/>
      <w:footerReference w:type="default" r:id="rId5"/>
      <w:footerReference w:type="first" r:id="rId6"/>
      <w:type w:val="nextPage"/>
      <w:pgSz w:w="11906" w:h="16838"/>
      <w:pgMar w:left="1134" w:right="566" w:gutter="0" w:header="0" w:top="851" w:footer="425"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w:charset w:val="ee" w:characterSet="windows-1250"/>
    <w:family w:val="roman"/>
    <w:pitch w:val="variable"/>
  </w:font>
  <w:font w:name="Times">
    <w:altName w:val="Times New Roman"/>
    <w:charset w:val="ee" w:characterSet="windows-1250"/>
    <w:family w:val="roman"/>
    <w:pitch w:val="variable"/>
  </w:font>
  <w:font w:name="Arial">
    <w:charset w:val="ee" w:characterSet="windows-1250"/>
    <w:family w:val="swiss"/>
    <w:pitch w:val="variable"/>
  </w:font>
  <w:font w:name="Courier New">
    <w:charset w:val="ee" w:characterSet="windows-1250"/>
    <w:family w:val="modern"/>
    <w:pitch w:val="default"/>
  </w:font>
  <w:font w:name="Wingdings">
    <w:charset w:val="02"/>
    <w:family w:val="auto"/>
    <w:pitch w:val="variable"/>
  </w:font>
  <w:font w:name="Tahoma">
    <w:charset w:val="ee" w:characterSet="windows-1250"/>
    <w:family w:val="swiss"/>
    <w:pitch w:val="variable"/>
  </w:font>
  <w:font w:name="Liberation Sans">
    <w:altName w:val="Arial"/>
    <w:charset w:val="00" w:characterSet="iso-8859-1"/>
    <w:family w:val="swiss"/>
    <w:pitch w:val="variable"/>
  </w:font>
  <w:font w:name="Calibri">
    <w:charset w:val="ee" w:characterSet="windows-1250"/>
    <w:family w:val="swiss"/>
    <w:pitch w:val="variable"/>
  </w:font>
  <w:font w:name="Gill Sans MT">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Calibri" w:hAnsi="Calibri" w:cs="Calibri"/>
      </w:rPr>
    </w:pPr>
    <w:r>
      <w:rPr>
        <w:rFonts w:cs="Calibri" w:ascii="Calibri" w:hAnsi="Calibri"/>
      </w:rPr>
      <w:fldChar w:fldCharType="begin"/>
    </w:r>
    <w:r>
      <w:rPr>
        <w:rFonts w:cs="Calibri" w:ascii="Calibri" w:hAnsi="Calibri"/>
      </w:rPr>
      <w:instrText xml:space="preserve"> PAGE </w:instrText>
    </w:r>
    <w:r>
      <w:rPr>
        <w:rFonts w:cs="Calibri" w:ascii="Calibri" w:hAnsi="Calibri"/>
      </w:rPr>
      <w:fldChar w:fldCharType="separate"/>
    </w:r>
    <w:r>
      <w:rPr>
        <w:rFonts w:cs="Calibri" w:ascii="Calibri" w:hAnsi="Calibri"/>
      </w:rPr>
      <w:t>3</w:t>
    </w:r>
    <w:r>
      <w:rPr>
        <w:rFonts w:cs="Calibri" w:ascii="Calibri" w:hAnsi="Calibri"/>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18" w:space="5" w:color="1F497D"/>
      </w:pBdr>
      <w:rPr>
        <w:rFonts w:ascii="Gill Sans MT" w:hAnsi="Gill Sans MT" w:cs="Gill Sans MT"/>
        <w:sz w:val="22"/>
      </w:rPr>
    </w:pPr>
    <w:r>
      <w:rPr>
        <w:rFonts w:cs="Gill Sans MT" w:ascii="Gill Sans MT" w:hAnsi="Gill Sans MT"/>
        <w:sz w:val="22"/>
      </w:rPr>
      <w:t>Bdul. Dacia, nr. 4A, Piatra–Neamţ, 610019</w:t>
    </w:r>
  </w:p>
  <w:p>
    <w:pPr>
      <w:pStyle w:val="Footer"/>
      <w:pBdr>
        <w:top w:val="single" w:sz="18" w:space="5" w:color="1F497D"/>
      </w:pBdr>
      <w:rPr>
        <w:rFonts w:ascii="Gill Sans MT" w:hAnsi="Gill Sans MT" w:cs="Gill Sans MT"/>
        <w:sz w:val="22"/>
      </w:rPr>
    </w:pPr>
    <w:r>
      <w:rPr>
        <w:rFonts w:cs="Gill Sans MT" w:ascii="Gill Sans MT" w:hAnsi="Gill Sans MT"/>
        <w:sz w:val="22"/>
      </w:rPr>
      <w:t xml:space="preserve">Telefon: +0233 234 441, Fax: +0233 213 874, email: </w:t>
    </w:r>
    <w:hyperlink r:id="rId1">
      <w:r>
        <w:rPr>
          <w:rStyle w:val="Hyperlink"/>
          <w:rFonts w:cs="Gill Sans MT" w:ascii="Gill Sans MT" w:hAnsi="Gill Sans MT"/>
          <w:i/>
          <w:sz w:val="22"/>
        </w:rPr>
        <w:t>sant@sant.ro</w:t>
      </w:r>
    </w:hyperlink>
  </w:p>
  <w:p>
    <w:pPr>
      <w:pStyle w:val="Footer"/>
      <w:pBdr>
        <w:top w:val="single" w:sz="18" w:space="5" w:color="1F497D"/>
      </w:pBdr>
      <w:rPr/>
    </w:pPr>
    <w:hyperlink r:id="rId2">
      <w:r>
        <w:rPr>
          <w:rStyle w:val="Hyperlink"/>
          <w:rFonts w:cs="Gill Sans MT" w:ascii="Gill Sans MT" w:hAnsi="Gill Sans MT"/>
          <w:i/>
          <w:iCs/>
          <w:sz w:val="22"/>
        </w:rPr>
        <w:t>www.sant.ro</w:t>
      </w:r>
    </w:hyperlink>
    <w:r>
      <w:rPr>
        <w:rFonts w:cs="Gill Sans MT" w:ascii="Gill Sans MT" w:hAnsi="Gill Sans MT"/>
        <w:i/>
        <w:iCs/>
        <w:color w:val="8C8C8C"/>
        <w:sz w:val="22"/>
      </w:rPr>
      <w:t xml:space="preserve">, </w:t>
    </w:r>
    <w:hyperlink r:id="rId3">
      <w:r>
        <w:rPr>
          <w:rStyle w:val="Hyperlink"/>
          <w:rFonts w:cs="Gill Sans MT" w:ascii="Gill Sans MT" w:hAnsi="Gill Sans MT"/>
          <w:i/>
          <w:iCs/>
          <w:sz w:val="22"/>
        </w:rPr>
        <w:t>www.dspjneamt.ro</w:t>
      </w:r>
    </w:hyperlink>
    <w:r>
      <w:rPr>
        <w:rFonts w:cs="Gill Sans MT" w:ascii="Gill Sans MT" w:hAnsi="Gill Sans MT"/>
        <w:i/>
        <w:iCs/>
        <w:color w:val="8C8C8C"/>
        <w:sz w:val="22"/>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800" w:type="pct"/>
      <w:jc w:val="start"/>
      <w:tblInd w:w="-1119" w:type="dxa"/>
      <w:tblLayout w:type="fixed"/>
      <w:tblCellMar>
        <w:top w:w="0" w:type="dxa"/>
        <w:start w:w="0" w:type="dxa"/>
        <w:bottom w:w="0" w:type="dxa"/>
        <w:end w:w="0" w:type="dxa"/>
      </w:tblCellMar>
    </w:tblPr>
    <w:tblGrid>
      <w:gridCol w:w="3030"/>
      <w:gridCol w:w="5280"/>
      <w:gridCol w:w="3528"/>
    </w:tblGrid>
    <w:tr>
      <w:trPr/>
      <w:tc>
        <w:tcPr>
          <w:tcW w:w="3030" w:type="dxa"/>
          <w:tcBorders/>
        </w:tcPr>
        <w:p>
          <w:pPr>
            <w:pStyle w:val="Header"/>
            <w:rPr>
              <w:lang w:val="en-US"/>
            </w:rPr>
          </w:pPr>
          <w:r>
            <w:rPr>
              <w:lang w:val="en-US" w:eastAsia="en-US"/>
            </w:rPr>
            <w:drawing>
              <wp:inline distT="0" distB="0" distL="0" distR="0">
                <wp:extent cx="1932940" cy="1934210"/>
                <wp:effectExtent l="0" t="0" r="0" b="0"/>
                <wp:docPr id="1"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title=""/>
                        <pic:cNvPicPr>
                          <a:picLocks noChangeAspect="1" noChangeArrowheads="1"/>
                        </pic:cNvPicPr>
                      </pic:nvPicPr>
                      <pic:blipFill>
                        <a:blip r:embed="rId1"/>
                        <a:srcRect l="-19" t="-17" r="-19" b="-17"/>
                        <a:stretch>
                          <a:fillRect/>
                        </a:stretch>
                      </pic:blipFill>
                      <pic:spPr bwMode="auto">
                        <a:xfrm>
                          <a:off x="0" y="0"/>
                          <a:ext cx="1932940" cy="1934210"/>
                        </a:xfrm>
                        <a:prstGeom prst="rect">
                          <a:avLst/>
                        </a:prstGeom>
                      </pic:spPr>
                    </pic:pic>
                  </a:graphicData>
                </a:graphic>
              </wp:inline>
            </w:drawing>
          </w:r>
        </w:p>
      </w:tc>
      <w:tc>
        <w:tcPr>
          <w:tcW w:w="5280" w:type="dxa"/>
          <w:tcBorders/>
        </w:tcPr>
        <w:p>
          <w:pPr>
            <w:pStyle w:val="Normal"/>
            <w:snapToGrid w:val="false"/>
            <w:rPr>
              <w:sz w:val="22"/>
              <w:lang w:val="en-US"/>
            </w:rPr>
          </w:pPr>
          <w:r>
            <w:rPr>
              <w:sz w:val="22"/>
              <w:lang w:val="en-US"/>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Header"/>
            <w:rPr>
              <w:lang w:val="en-US"/>
            </w:rPr>
          </w:pPr>
          <w:r>
            <w:rPr>
              <w:lang w:val="en-US" w:eastAsia="en-US"/>
            </w:rPr>
          </w:r>
          <w:r>
            <mc:AlternateContent>
              <mc:Choice Requires="wps">
                <w:drawing>
                  <wp:inline distT="0" distB="0" distL="0" distR="0">
                    <wp:extent cx="3314700" cy="876300"/>
                    <wp:effectExtent l="0" t="0" r="0" b="0"/>
                    <wp:docPr id="2" name="Frame1"/>
                    <a:graphic xmlns:a="http://schemas.openxmlformats.org/drawingml/2006/main">
                      <a:graphicData uri="http://schemas.microsoft.com/office/word/2010/wordprocessingShape">
                        <wps:wsp>
                          <wps:cNvSpPr txBox="1"/>
                          <wps:spPr>
                            <a:xfrm>
                              <a:off x="0" y="0"/>
                              <a:ext cx="3314700" cy="876300"/>
                            </a:xfrm>
                            <a:prstGeom prst="rect"/>
                            <a:solidFill>
                              <a:srgbClr val="FFFFFF"/>
                            </a:solidFill>
                          </wps:spPr>
                          <wps:txbx>
                            <w:txbxContent>
                              <w:p>
                                <w:pPr>
                                  <w:pStyle w:val="Normal"/>
                                  <w:rPr/>
                                </w:pPr>
                                <w:r>
                                  <w:rPr>
                                    <w:rFonts w:cs="Gill Sans MT" w:ascii="Gill Sans MT" w:hAnsi="Gill Sans MT"/>
                                    <w:b/>
                                    <w:sz w:val="28"/>
                                  </w:rPr>
                                  <w:t>MINISTERUL SĂNĂTĂ</w:t>
                                </w:r>
                                <w:r>
                                  <w:rPr>
                                    <w:rFonts w:cs="Calibri" w:ascii="Gill Sans MT" w:hAnsi="Gill Sans MT"/>
                                    <w:b/>
                                    <w:sz w:val="28"/>
                                  </w:rPr>
                                  <w:t>Ţ</w:t>
                                </w:r>
                                <w:r>
                                  <w:rPr>
                                    <w:rFonts w:cs="Gill Sans MT" w:ascii="Gill Sans MT" w:hAnsi="Gill Sans MT"/>
                                    <w:b/>
                                    <w:sz w:val="28"/>
                                  </w:rPr>
                                  <w:t>II</w:t>
                                </w:r>
                              </w:p>
                              <w:p>
                                <w:pPr>
                                  <w:pStyle w:val="Normal"/>
                                  <w:rPr/>
                                </w:pPr>
                                <w:r>
                                  <w:rPr>
                                    <w:rFonts w:cs="Gill Sans MT" w:ascii="Gill Sans MT" w:hAnsi="Gill Sans MT"/>
                                    <w:sz w:val="28"/>
                                  </w:rPr>
                                  <w:t xml:space="preserve">Direcţia de Sănătate Publică </w:t>
                                  <w:br/>
                                  <w:t>Judeţul NEAMŢ</w:t>
                                  <w:br/>
                                </w:r>
                                <w:r>
                                  <w:rPr>
                                    <w:rFonts w:cs="Gill Sans MT" w:ascii="Gill Sans MT" w:hAnsi="Gill Sans MT"/>
                                    <w:szCs w:val="32"/>
                                  </w:rPr>
                                  <w:t>Compartiment Avize, Autorizări</w:t>
                                </w:r>
                              </w:p>
                            </w:txbxContent>
                          </wps:txbx>
                          <wps:bodyPr anchor="t" lIns="635" tIns="635" rIns="635" bIns="635">
                            <a:noAutofit/>
                          </wps:bodyPr>
                        </wps:wsp>
                      </a:graphicData>
                    </a:graphic>
                  </wp:inline>
                </w:drawing>
              </mc:Choice>
              <mc:Fallback>
                <w:pict>
                  <v:rect fillcolor="#FFFFFF" style="position:absolute;rotation:-0;width:261pt;height:69pt;mso-wrap-distance-left:0pt;mso-wrap-distance-right:0pt;mso-wrap-distance-top:0pt;mso-wrap-distance-bottom:0pt;margin-top:0pt;mso-position-vertical-relative:text;margin-left:0pt;mso-position-horizontal:center;mso-position-horizontal-relative:text">
                    <v:textbox inset="0.000694444444444445in,0.000694444444444445in,0.000694444444444445in,0.000694444444444445in">
                      <w:txbxContent>
                        <w:p>
                          <w:pPr>
                            <w:pStyle w:val="Normal"/>
                            <w:rPr/>
                          </w:pPr>
                          <w:r>
                            <w:rPr>
                              <w:rFonts w:cs="Gill Sans MT" w:ascii="Gill Sans MT" w:hAnsi="Gill Sans MT"/>
                              <w:b/>
                              <w:sz w:val="28"/>
                            </w:rPr>
                            <w:t>MINISTERUL SĂNĂTĂ</w:t>
                          </w:r>
                          <w:r>
                            <w:rPr>
                              <w:rFonts w:cs="Calibri" w:ascii="Gill Sans MT" w:hAnsi="Gill Sans MT"/>
                              <w:b/>
                              <w:sz w:val="28"/>
                            </w:rPr>
                            <w:t>Ţ</w:t>
                          </w:r>
                          <w:r>
                            <w:rPr>
                              <w:rFonts w:cs="Gill Sans MT" w:ascii="Gill Sans MT" w:hAnsi="Gill Sans MT"/>
                              <w:b/>
                              <w:sz w:val="28"/>
                            </w:rPr>
                            <w:t>II</w:t>
                          </w:r>
                        </w:p>
                        <w:p>
                          <w:pPr>
                            <w:pStyle w:val="Normal"/>
                            <w:rPr/>
                          </w:pPr>
                          <w:r>
                            <w:rPr>
                              <w:rFonts w:cs="Gill Sans MT" w:ascii="Gill Sans MT" w:hAnsi="Gill Sans MT"/>
                              <w:sz w:val="28"/>
                            </w:rPr>
                            <w:t xml:space="preserve">Direcţia de Sănătate Publică </w:t>
                            <w:br/>
                            <w:t>Judeţul NEAMŢ</w:t>
                            <w:br/>
                          </w:r>
                          <w:r>
                            <w:rPr>
                              <w:rFonts w:cs="Gill Sans MT" w:ascii="Gill Sans MT" w:hAnsi="Gill Sans MT"/>
                              <w:szCs w:val="32"/>
                            </w:rPr>
                            <w:t>Compartiment Avize, Autorizări</w:t>
                          </w:r>
                        </w:p>
                      </w:txbxContent>
                    </v:textbox>
                    <w10:wrap type="square"/>
                  </v:rect>
                </w:pict>
              </mc:Fallback>
            </mc:AlternateContent>
          </w:r>
        </w:p>
        <w:p>
          <w:pPr>
            <w:pStyle w:val="Header"/>
            <w:rPr>
              <w:lang w:val="en-US"/>
            </w:rPr>
          </w:pPr>
          <w:r>
            <w:rPr>
              <w:lang w:val="en-US"/>
            </w:rPr>
          </w:r>
        </w:p>
      </w:tc>
      <w:tc>
        <w:tcPr>
          <w:tcW w:w="3528" w:type="dxa"/>
          <w:tcBorders/>
          <w:vAlign w:val="center"/>
        </w:tcPr>
        <w:p>
          <w:pPr>
            <w:pStyle w:val="Header"/>
            <w:snapToGrid w:val="false"/>
            <w:jc w:val="center"/>
            <w:rPr>
              <w:lang w:val="en-US"/>
            </w:rPr>
          </w:pPr>
          <w:r>
            <w:rPr>
              <w:lang w:val="en-US"/>
            </w:rPr>
          </w:r>
        </w:p>
      </w:tc>
    </w:tr>
  </w:tbl>
  <w:p>
    <w:pPr>
      <w:pStyle w:val="Header"/>
      <w:rPr>
        <w:lang w:val="en-US"/>
      </w:rPr>
    </w:pPr>
    <w:r>
      <w:rPr>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en-AU" w:bidi="ar-SA" w:eastAsia="zh-CN"/>
    </w:rPr>
  </w:style>
  <w:style w:type="paragraph" w:styleId="Heading1">
    <w:name w:val="Heading 1"/>
    <w:basedOn w:val="Normal"/>
    <w:next w:val="Normal"/>
    <w:qFormat/>
    <w:pPr>
      <w:keepNext w:val="true"/>
      <w:numPr>
        <w:ilvl w:val="0"/>
        <w:numId w:val="1"/>
      </w:numPr>
      <w:jc w:val="center"/>
      <w:outlineLvl w:val="0"/>
    </w:pPr>
    <w:rPr>
      <w:rFonts w:ascii="Times" w:hAnsi="Times" w:cs="Arial"/>
      <w:szCs w:val="20"/>
      <w:lang w:val="en-GB"/>
    </w:rPr>
  </w:style>
  <w:style w:type="paragraph" w:styleId="Heading2">
    <w:name w:val="Heading 2"/>
    <w:basedOn w:val="Normal"/>
    <w:next w:val="Normal"/>
    <w:qFormat/>
    <w:pPr>
      <w:keepNext w:val="true"/>
      <w:numPr>
        <w:ilvl w:val="1"/>
        <w:numId w:val="1"/>
      </w:numPr>
      <w:outlineLvl w:val="1"/>
    </w:pPr>
    <w:rPr>
      <w:rFonts w:ascii="Times" w:hAnsi="Times" w:cs="Arial"/>
      <w:b/>
      <w:sz w:val="20"/>
      <w:szCs w:val="20"/>
      <w:lang w:val="en-GB"/>
    </w:rPr>
  </w:style>
  <w:style w:type="paragraph" w:styleId="Heading3">
    <w:name w:val="Heading 3"/>
    <w:basedOn w:val="Normal"/>
    <w:next w:val="Normal"/>
    <w:qFormat/>
    <w:pPr>
      <w:keepNext w:val="true"/>
      <w:numPr>
        <w:ilvl w:val="2"/>
        <w:numId w:val="1"/>
      </w:numPr>
      <w:spacing w:before="20" w:after="40"/>
      <w:outlineLvl w:val="2"/>
    </w:pPr>
    <w:rPr>
      <w:rFonts w:cs="Arial"/>
      <w:b/>
      <w:sz w:val="22"/>
      <w:szCs w:val="20"/>
      <w:lang w:val="en-GB"/>
    </w:rPr>
  </w:style>
  <w:style w:type="paragraph" w:styleId="Heading4">
    <w:name w:val="Heading 4"/>
    <w:basedOn w:val="Normal"/>
    <w:next w:val="Normal"/>
    <w:qFormat/>
    <w:pPr>
      <w:keepNext w:val="true"/>
      <w:numPr>
        <w:ilvl w:val="3"/>
        <w:numId w:val="1"/>
      </w:numPr>
      <w:jc w:val="center"/>
      <w:outlineLvl w:val="3"/>
    </w:pPr>
    <w:rPr>
      <w:rFonts w:ascii="Arial" w:hAnsi="Arial" w:cs="Arial"/>
      <w:b/>
      <w:color w:val="000000"/>
      <w:sz w:val="20"/>
      <w:szCs w:val="20"/>
      <w:lang w:val="en-US"/>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Fontdeparagrafimplicit">
    <w:name w:val="Font de paragraf implicit"/>
    <w:qFormat/>
    <w:rPr/>
  </w:style>
  <w:style w:type="character" w:styleId="AntetCaracter">
    <w:name w:val="Antet Caracter"/>
    <w:qFormat/>
    <w:rPr>
      <w:sz w:val="24"/>
      <w:szCs w:val="24"/>
    </w:rPr>
  </w:style>
  <w:style w:type="character" w:styleId="SubsolCaracter">
    <w:name w:val="Subsol Caracter"/>
    <w:qFormat/>
    <w:rPr>
      <w:sz w:val="24"/>
      <w:szCs w:val="24"/>
    </w:rPr>
  </w:style>
  <w:style w:type="character" w:styleId="TextnBalonCaracter">
    <w:name w:val="Text în Balon Caracter"/>
    <w:qFormat/>
    <w:rPr>
      <w:rFonts w:ascii="Tahoma" w:hAnsi="Tahoma" w:cs="Tahoma"/>
      <w:sz w:val="16"/>
      <w:szCs w:val="16"/>
    </w:rPr>
  </w:style>
  <w:style w:type="character" w:styleId="Hyperlink">
    <w:name w:val="Hyperlink"/>
    <w:rPr>
      <w:color w:val="0000FF"/>
      <w:u w:val="single"/>
    </w:rPr>
  </w:style>
  <w:style w:type="character" w:styleId="PageNumber">
    <w:name w:val="Page Number"/>
    <w:basedOn w:val="Fontdeparagrafimplicit"/>
    <w:rPr/>
  </w:style>
  <w:style w:type="character" w:styleId="Titlu1Caracter">
    <w:name w:val="Titlu 1 Caracter"/>
    <w:qFormat/>
    <w:rPr>
      <w:rFonts w:ascii="Times" w:hAnsi="Times" w:cs="Arial"/>
      <w:sz w:val="24"/>
      <w:lang w:val="en-GB"/>
    </w:rPr>
  </w:style>
  <w:style w:type="character" w:styleId="Titlu2Caracter">
    <w:name w:val="Titlu 2 Caracter"/>
    <w:qFormat/>
    <w:rPr>
      <w:rFonts w:ascii="Times" w:hAnsi="Times" w:cs="Arial"/>
      <w:b/>
      <w:lang w:val="en-GB"/>
    </w:rPr>
  </w:style>
  <w:style w:type="character" w:styleId="Titlu3Caracter">
    <w:name w:val="Titlu 3 Caracter"/>
    <w:qFormat/>
    <w:rPr>
      <w:rFonts w:cs="Arial"/>
      <w:b/>
      <w:sz w:val="22"/>
      <w:lang w:val="en-GB"/>
    </w:rPr>
  </w:style>
  <w:style w:type="character" w:styleId="Titlu4Caracter">
    <w:name w:val="Titlu 4 Caracter"/>
    <w:qFormat/>
    <w:rPr>
      <w:rFonts w:ascii="Arial" w:hAnsi="Arial" w:cs="Arial"/>
      <w:b/>
      <w:color w:val="000000"/>
    </w:rPr>
  </w:style>
  <w:style w:type="character" w:styleId="CorptextCaracter">
    <w:name w:val="Corp text Caracter"/>
    <w:qFormat/>
    <w:rPr>
      <w:rFonts w:ascii="Times" w:hAnsi="Times" w:cs="Arial"/>
      <w:sz w:val="22"/>
      <w:lang w:val="en-GB"/>
    </w:rPr>
  </w:style>
  <w:style w:type="character" w:styleId="PlandocumentCaracter">
    <w:name w:val="Plan document Caracter"/>
    <w:qFormat/>
    <w:rPr>
      <w:rFonts w:ascii="Tahoma" w:hAnsi="Tahoma" w:cs="Arial"/>
      <w:shd w:fill="000080" w:val="clear"/>
      <w:lang w:val="en-GB"/>
    </w:rPr>
  </w:style>
  <w:style w:type="character" w:styleId="PlaceholderText">
    <w:name w:val="Placeholder Text"/>
    <w:qFormat/>
    <w:rPr>
      <w:color w:val="808080"/>
    </w:rPr>
  </w:style>
  <w:style w:type="character" w:styleId="FollowedHyperlink">
    <w:name w:val="FollowedHyperlink"/>
    <w:rPr>
      <w:color w:val="800080"/>
      <w:u w:val="single"/>
    </w:rPr>
  </w:style>
  <w:style w:type="character" w:styleId="TextnotdefinalCaracter">
    <w:name w:val="Text notă de final Caracter"/>
    <w:qFormat/>
    <w:rPr>
      <w:lang w:val="ro-RO"/>
    </w:rPr>
  </w:style>
  <w:style w:type="character" w:styleId="EndnoteCharacters">
    <w:name w:val="Endnote Characters"/>
    <w:qFormat/>
    <w:rPr>
      <w:vertAlign w:val="superscript"/>
    </w:rPr>
  </w:style>
  <w:style w:type="character" w:styleId="part">
    <w:name w:val="p_art"/>
    <w:basedOn w:val="Fontdeparagrafimplicit"/>
    <w:qFormat/>
    <w:rPr/>
  </w:style>
  <w:style w:type="character" w:styleId="apple-converted-space">
    <w:name w:val="apple-converted-space"/>
    <w:basedOn w:val="Fontdeparagrafimplicit"/>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jc w:val="center"/>
    </w:pPr>
    <w:rPr>
      <w:rFonts w:ascii="Times" w:hAnsi="Times" w:cs="Arial"/>
      <w:sz w:val="22"/>
      <w:szCs w:val="20"/>
      <w:lang w:val="en-GB"/>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TextnBalon">
    <w:name w:val="Text în Balon"/>
    <w:basedOn w:val="Normal"/>
    <w:qFormat/>
    <w:pPr/>
    <w:rPr>
      <w:rFonts w:ascii="Tahoma" w:hAnsi="Tahoma" w:cs="Tahoma"/>
      <w:sz w:val="16"/>
      <w:szCs w:val="16"/>
    </w:rPr>
  </w:style>
  <w:style w:type="paragraph" w:styleId="ListParagraph">
    <w:name w:val="List Paragraph"/>
    <w:basedOn w:val="Normal"/>
    <w:qFormat/>
    <w:pPr>
      <w:spacing w:before="0" w:after="0"/>
      <w:ind w:hanging="0" w:start="720" w:end="0"/>
      <w:contextualSpacing/>
    </w:pPr>
    <w:rPr/>
  </w:style>
  <w:style w:type="paragraph" w:styleId="Legend">
    <w:name w:val="Legendă"/>
    <w:basedOn w:val="Normal"/>
    <w:next w:val="Normal"/>
    <w:qFormat/>
    <w:pPr>
      <w:jc w:val="center"/>
    </w:pPr>
    <w:rPr>
      <w:rFonts w:ascii="Times" w:hAnsi="Times" w:cs="Arial"/>
      <w:b/>
      <w:sz w:val="30"/>
      <w:szCs w:val="20"/>
      <w:lang w:val="en-GB"/>
    </w:rPr>
  </w:style>
  <w:style w:type="paragraph" w:styleId="Plandocument">
    <w:name w:val="Plan document"/>
    <w:basedOn w:val="Normal"/>
    <w:qFormat/>
    <w:pPr>
      <w:shd w:fill="000080" w:val="clear"/>
    </w:pPr>
    <w:rPr>
      <w:rFonts w:ascii="Tahoma" w:hAnsi="Tahoma" w:cs="Arial"/>
      <w:sz w:val="20"/>
      <w:szCs w:val="20"/>
      <w:lang w:val="en-GB"/>
    </w:rPr>
  </w:style>
  <w:style w:type="paragraph" w:styleId="xl67">
    <w:name w:val="xl67"/>
    <w:basedOn w:val="Normal"/>
    <w:qFormat/>
    <w:pPr>
      <w:shd w:fill="FFFF00" w:val="clear"/>
      <w:spacing w:before="280" w:after="280"/>
    </w:pPr>
    <w:rPr>
      <w:lang w:val="en-US"/>
    </w:rPr>
  </w:style>
  <w:style w:type="paragraph" w:styleId="xl68">
    <w:name w:val="xl68"/>
    <w:basedOn w:val="Normal"/>
    <w:qFormat/>
    <w:pPr>
      <w:shd w:fill="FFFF00" w:val="clear"/>
      <w:spacing w:before="280" w:after="280"/>
    </w:pPr>
    <w:rPr>
      <w:lang w:val="en-US"/>
    </w:rPr>
  </w:style>
  <w:style w:type="paragraph" w:styleId="xl69">
    <w:name w:val="xl69"/>
    <w:basedOn w:val="Normal"/>
    <w:qFormat/>
    <w:pPr>
      <w:spacing w:before="280" w:after="280"/>
      <w:jc w:val="center"/>
    </w:pPr>
    <w:rPr>
      <w:lang w:val="en-US"/>
    </w:rPr>
  </w:style>
  <w:style w:type="paragraph" w:styleId="xl70">
    <w:name w:val="xl70"/>
    <w:basedOn w:val="Normal"/>
    <w:qFormat/>
    <w:pPr>
      <w:spacing w:before="280" w:after="280"/>
      <w:jc w:val="center"/>
    </w:pPr>
    <w:rPr>
      <w:lang w:val="en-US"/>
    </w:rPr>
  </w:style>
  <w:style w:type="paragraph" w:styleId="xl71">
    <w:name w:val="xl71"/>
    <w:basedOn w:val="Normal"/>
    <w:qFormat/>
    <w:pPr>
      <w:shd w:fill="FFFF00" w:val="clear"/>
      <w:spacing w:before="280" w:after="280"/>
    </w:pPr>
    <w:rPr>
      <w:rFonts w:ascii="Calibri" w:hAnsi="Calibri" w:cs="Calibri"/>
      <w:b/>
      <w:bCs/>
      <w:color w:val="FF0000"/>
      <w:lang w:val="en-US"/>
    </w:rPr>
  </w:style>
  <w:style w:type="paragraph" w:styleId="xl72">
    <w:name w:val="xl72"/>
    <w:basedOn w:val="Normal"/>
    <w:qFormat/>
    <w:pPr>
      <w:shd w:fill="FFFF00" w:val="clear"/>
      <w:spacing w:before="280" w:after="280"/>
    </w:pPr>
    <w:rPr>
      <w:rFonts w:ascii="Calibri" w:hAnsi="Calibri" w:cs="Calibri"/>
      <w:b/>
      <w:bCs/>
      <w:color w:val="FF0000"/>
      <w:lang w:val="en-US"/>
    </w:rPr>
  </w:style>
  <w:style w:type="paragraph" w:styleId="xl73">
    <w:name w:val="xl73"/>
    <w:basedOn w:val="Normal"/>
    <w:qFormat/>
    <w:pPr>
      <w:shd w:fill="FFFF00" w:val="clear"/>
      <w:spacing w:before="280" w:after="280"/>
    </w:pPr>
    <w:rPr>
      <w:lang w:val="en-US"/>
    </w:rPr>
  </w:style>
  <w:style w:type="paragraph" w:styleId="xl74">
    <w:name w:val="xl74"/>
    <w:basedOn w:val="Normal"/>
    <w:qFormat/>
    <w:pPr>
      <w:shd w:fill="FFFF00" w:val="clear"/>
      <w:spacing w:before="280" w:after="280"/>
    </w:pPr>
    <w:rPr>
      <w:rFonts w:ascii="Calibri" w:hAnsi="Calibri" w:cs="Calibri"/>
      <w:b/>
      <w:bCs/>
      <w:color w:val="FF0000"/>
      <w:lang w:val="en-US"/>
    </w:rPr>
  </w:style>
  <w:style w:type="paragraph" w:styleId="EndnoteText">
    <w:name w:val="Endnote Text"/>
    <w:basedOn w:val="Normal"/>
    <w:pPr/>
    <w:rPr>
      <w:sz w:val="20"/>
      <w:szCs w:val="20"/>
    </w:rPr>
  </w:style>
  <w:style w:type="paragraph" w:styleId="Corptext2">
    <w:name w:val="Corp text 2"/>
    <w:basedOn w:val="Normal"/>
    <w:qFormat/>
    <w:pPr>
      <w:spacing w:lineRule="auto" w:line="480" w:before="0" w:after="12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javascript:OpenDocumentView(447823,%208638895);"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mailto:sant@sant.ro" TargetMode="External"/><Relationship Id="rId2" Type="http://schemas.openxmlformats.org/officeDocument/2006/relationships/hyperlink" Target="http://www.sant.ro/" TargetMode="External"/><Relationship Id="rId3" Type="http://schemas.openxmlformats.org/officeDocument/2006/relationships/hyperlink" Target="http://www.dspjneamt.ro/"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23</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2026-10-20T06:58:00Z</dcterms:created>
  <dc:creator>Elena Sterpu</dc:creator>
  <dc:description/>
  <cp:keywords/>
  <dc:language>en-US</dc:language>
  <cp:lastModifiedBy>Mihaela Iftimia</cp:lastModifiedBy>
  <cp:lastPrinted>2018-11-28T16:17:00Z</cp:lastPrinted>
  <dcterms:modified xsi:type="dcterms:W3CDTF">2026-10-20T08:20:00Z</dcterms:modified>
  <cp:revision>8</cp:revision>
  <dc:subject/>
  <dc:title>Nr</dc:title>
</cp:coreProperties>
</file>